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4CCC" w14:textId="77777777" w:rsidR="00913D6B" w:rsidRPr="00913D6B" w:rsidRDefault="00913D6B" w:rsidP="00913D6B">
      <w:pPr>
        <w:jc w:val="both"/>
        <w:rPr>
          <w:b/>
          <w:bCs/>
          <w:sz w:val="28"/>
          <w:szCs w:val="28"/>
        </w:rPr>
      </w:pPr>
      <w:r w:rsidRPr="00913D6B">
        <w:rPr>
          <w:b/>
          <w:bCs/>
          <w:sz w:val="28"/>
          <w:szCs w:val="28"/>
        </w:rPr>
        <w:t>Fond REALIA rozšiřuje portfolio o retail park v Šumperku</w:t>
      </w:r>
    </w:p>
    <w:p w14:paraId="1401491F" w14:textId="77777777" w:rsidR="00040F45" w:rsidRDefault="00040F45" w:rsidP="00625AC5">
      <w:pPr>
        <w:jc w:val="both"/>
        <w:rPr>
          <w:b/>
          <w:sz w:val="22"/>
          <w:szCs w:val="22"/>
        </w:rPr>
      </w:pPr>
    </w:p>
    <w:p w14:paraId="4162684C" w14:textId="505551E2" w:rsidR="00DB2315" w:rsidRPr="00DB2315" w:rsidRDefault="00DB2315" w:rsidP="4F22BB69">
      <w:pPr>
        <w:shd w:val="clear" w:color="auto" w:fill="FFFFFF" w:themeFill="background1"/>
        <w:tabs>
          <w:tab w:val="left" w:pos="2910"/>
        </w:tabs>
        <w:spacing w:line="276" w:lineRule="auto"/>
        <w:jc w:val="right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4F22BB69">
        <w:rPr>
          <w:rFonts w:asciiTheme="minorHAnsi" w:hAnsiTheme="minorHAnsi" w:cstheme="minorBidi"/>
          <w:b/>
          <w:bCs/>
          <w:sz w:val="22"/>
          <w:szCs w:val="22"/>
        </w:rPr>
        <w:t>V</w:t>
      </w:r>
      <w:r w:rsidR="009426D6" w:rsidRPr="4F22BB69">
        <w:rPr>
          <w:rFonts w:asciiTheme="minorHAnsi" w:hAnsiTheme="minorHAnsi" w:cstheme="minorBidi"/>
          <w:b/>
          <w:bCs/>
          <w:sz w:val="22"/>
          <w:szCs w:val="22"/>
        </w:rPr>
        <w:t> </w:t>
      </w:r>
      <w:r w:rsidRPr="4F22BB69">
        <w:rPr>
          <w:rFonts w:asciiTheme="minorHAnsi" w:hAnsiTheme="minorHAnsi" w:cstheme="minorBidi"/>
          <w:b/>
          <w:bCs/>
          <w:sz w:val="22"/>
          <w:szCs w:val="22"/>
        </w:rPr>
        <w:t>Praze</w:t>
      </w:r>
      <w:r w:rsidR="009426D6" w:rsidRPr="4F22BB69">
        <w:rPr>
          <w:rFonts w:asciiTheme="minorHAnsi" w:hAnsiTheme="minorHAnsi" w:cstheme="minorBidi"/>
          <w:b/>
          <w:bCs/>
          <w:sz w:val="22"/>
          <w:szCs w:val="22"/>
        </w:rPr>
        <w:t>,</w:t>
      </w:r>
      <w:r w:rsidRPr="4F22BB6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342893">
        <w:rPr>
          <w:rFonts w:asciiTheme="minorHAnsi" w:hAnsiTheme="minorHAnsi" w:cstheme="minorBidi"/>
          <w:b/>
          <w:bCs/>
          <w:sz w:val="22"/>
          <w:szCs w:val="22"/>
        </w:rPr>
        <w:t>19</w:t>
      </w:r>
      <w:r w:rsidR="00867E1F" w:rsidRPr="4F22BB69">
        <w:rPr>
          <w:rFonts w:asciiTheme="minorHAnsi" w:hAnsiTheme="minorHAnsi" w:cstheme="minorBidi"/>
          <w:b/>
          <w:bCs/>
          <w:sz w:val="22"/>
          <w:szCs w:val="22"/>
        </w:rPr>
        <w:t>.</w:t>
      </w:r>
      <w:r w:rsidRPr="4F22BB6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6B7CB6">
        <w:rPr>
          <w:rFonts w:asciiTheme="minorHAnsi" w:hAnsiTheme="minorHAnsi" w:cstheme="minorBidi"/>
          <w:b/>
          <w:bCs/>
          <w:sz w:val="22"/>
          <w:szCs w:val="22"/>
        </w:rPr>
        <w:t>května</w:t>
      </w:r>
      <w:r w:rsidR="00867E1F" w:rsidRPr="4F22BB69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Pr="4F22BB69">
        <w:rPr>
          <w:rFonts w:asciiTheme="minorHAnsi" w:hAnsiTheme="minorHAnsi" w:cstheme="minorBidi"/>
          <w:b/>
          <w:bCs/>
          <w:sz w:val="22"/>
          <w:szCs w:val="22"/>
        </w:rPr>
        <w:t>202</w:t>
      </w:r>
      <w:r w:rsidR="00C1292F" w:rsidRPr="4F22BB69">
        <w:rPr>
          <w:rFonts w:asciiTheme="minorHAnsi" w:hAnsiTheme="minorHAnsi" w:cstheme="minorBidi"/>
          <w:b/>
          <w:bCs/>
          <w:sz w:val="22"/>
          <w:szCs w:val="22"/>
        </w:rPr>
        <w:t>5</w:t>
      </w:r>
    </w:p>
    <w:p w14:paraId="769026FF" w14:textId="77777777" w:rsidR="00DB2315" w:rsidRDefault="00DB2315" w:rsidP="00625AC5">
      <w:pPr>
        <w:jc w:val="both"/>
        <w:rPr>
          <w:b/>
          <w:sz w:val="22"/>
          <w:szCs w:val="22"/>
        </w:rPr>
      </w:pPr>
    </w:p>
    <w:p w14:paraId="6A301CE7" w14:textId="183418C6" w:rsidR="006B7CB6" w:rsidRPr="006B7CB6" w:rsidRDefault="006B7CB6" w:rsidP="006B7CB6">
      <w:pPr>
        <w:jc w:val="both"/>
        <w:rPr>
          <w:b/>
          <w:bCs/>
          <w:sz w:val="22"/>
          <w:szCs w:val="22"/>
        </w:rPr>
      </w:pPr>
      <w:r w:rsidRPr="006B7CB6">
        <w:rPr>
          <w:b/>
          <w:bCs/>
          <w:sz w:val="22"/>
          <w:szCs w:val="22"/>
        </w:rPr>
        <w:t>Fond kvalifikovaných investorů REALIA FUND SICAV pokračuje v</w:t>
      </w:r>
      <w:r w:rsidR="0060500A">
        <w:rPr>
          <w:b/>
          <w:bCs/>
          <w:sz w:val="22"/>
          <w:szCs w:val="22"/>
        </w:rPr>
        <w:t>e</w:t>
      </w:r>
      <w:r w:rsidRPr="006B7CB6">
        <w:rPr>
          <w:b/>
          <w:bCs/>
          <w:sz w:val="22"/>
          <w:szCs w:val="22"/>
        </w:rPr>
        <w:t xml:space="preserve"> své konzervativní investiční strategi</w:t>
      </w:r>
      <w:r w:rsidR="0060500A">
        <w:rPr>
          <w:b/>
          <w:bCs/>
          <w:sz w:val="22"/>
          <w:szCs w:val="22"/>
        </w:rPr>
        <w:t>i</w:t>
      </w:r>
      <w:r w:rsidRPr="006B7CB6">
        <w:rPr>
          <w:b/>
          <w:bCs/>
          <w:sz w:val="22"/>
          <w:szCs w:val="22"/>
        </w:rPr>
        <w:t xml:space="preserve"> a rozšířil portfolio o další nemovitost</w:t>
      </w:r>
      <w:r w:rsidR="005B737A">
        <w:rPr>
          <w:b/>
          <w:bCs/>
          <w:sz w:val="22"/>
          <w:szCs w:val="22"/>
        </w:rPr>
        <w:t>, nově vybudovaný</w:t>
      </w:r>
      <w:r w:rsidRPr="006B7CB6">
        <w:rPr>
          <w:b/>
          <w:bCs/>
          <w:sz w:val="22"/>
          <w:szCs w:val="22"/>
        </w:rPr>
        <w:t xml:space="preserve"> retail park v</w:t>
      </w:r>
      <w:r w:rsidR="005B737A">
        <w:rPr>
          <w:b/>
          <w:bCs/>
          <w:sz w:val="22"/>
          <w:szCs w:val="22"/>
        </w:rPr>
        <w:t> </w:t>
      </w:r>
      <w:r w:rsidRPr="006B7CB6">
        <w:rPr>
          <w:b/>
          <w:bCs/>
          <w:sz w:val="22"/>
          <w:szCs w:val="22"/>
        </w:rPr>
        <w:t>Šumperku</w:t>
      </w:r>
      <w:r w:rsidR="005B737A">
        <w:rPr>
          <w:b/>
          <w:bCs/>
          <w:sz w:val="22"/>
          <w:szCs w:val="22"/>
        </w:rPr>
        <w:t xml:space="preserve">. </w:t>
      </w:r>
      <w:r w:rsidR="007C4AEA">
        <w:rPr>
          <w:b/>
          <w:bCs/>
          <w:sz w:val="22"/>
          <w:szCs w:val="22"/>
        </w:rPr>
        <w:t>V současnosti</w:t>
      </w:r>
      <w:r w:rsidRPr="006B7CB6">
        <w:rPr>
          <w:b/>
          <w:bCs/>
          <w:sz w:val="22"/>
          <w:szCs w:val="22"/>
        </w:rPr>
        <w:t xml:space="preserve"> tak fond vlastní již 21 retailových parků a hodnota jeho portfolia přesáhla 2,8 miliardy korun.</w:t>
      </w:r>
    </w:p>
    <w:p w14:paraId="75769398" w14:textId="72768499" w:rsidR="00580429" w:rsidRDefault="00580429" w:rsidP="00580429">
      <w:pPr>
        <w:jc w:val="both"/>
        <w:rPr>
          <w:bCs/>
          <w:sz w:val="22"/>
          <w:szCs w:val="22"/>
        </w:rPr>
      </w:pPr>
    </w:p>
    <w:p w14:paraId="7E402AB2" w14:textId="21A723B2" w:rsidR="007D1534" w:rsidRDefault="005B737A" w:rsidP="007D1534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Retail park v Šumperku byl dokončený v roce 2024 a jeho obchodní plocha </w:t>
      </w:r>
      <w:r w:rsidRPr="005B737A">
        <w:rPr>
          <w:bCs/>
          <w:sz w:val="22"/>
          <w:szCs w:val="22"/>
        </w:rPr>
        <w:t xml:space="preserve">3.100 m² nabízí pět nájemních jednotek – kromě supermarketu PENNY zde zákazníci najdou také prodejny ACTION, TETA drogerie, SINSAY a TRAFICON. </w:t>
      </w:r>
      <w:r w:rsidRPr="005B737A">
        <w:rPr>
          <w:bCs/>
          <w:i/>
          <w:iCs/>
          <w:sz w:val="22"/>
          <w:szCs w:val="22"/>
        </w:rPr>
        <w:t>„Jedná se o moderní projekt s atraktivní skladbou nájemců a výbornou dopravní dostupností. Věříme, že půjde o stabilní zdroj výnosu s dlouhodobým potenciálem,“</w:t>
      </w:r>
      <w:r w:rsidRPr="005B737A">
        <w:rPr>
          <w:bCs/>
          <w:sz w:val="22"/>
          <w:szCs w:val="22"/>
        </w:rPr>
        <w:t xml:space="preserve"> komentuje Tomáš Oplíštil, člen investičního výboru fondu a obchodní ředitel REALIA GROUP.</w:t>
      </w:r>
    </w:p>
    <w:p w14:paraId="66CE7D69" w14:textId="77777777" w:rsidR="00496234" w:rsidRDefault="00496234" w:rsidP="007D1534">
      <w:pPr>
        <w:jc w:val="both"/>
        <w:rPr>
          <w:bCs/>
          <w:sz w:val="22"/>
          <w:szCs w:val="22"/>
        </w:rPr>
      </w:pPr>
    </w:p>
    <w:p w14:paraId="2EE7AA66" w14:textId="14908A51" w:rsidR="007D1534" w:rsidRDefault="007C4AEA" w:rsidP="007D1534">
      <w:pPr>
        <w:jc w:val="both"/>
        <w:rPr>
          <w:bCs/>
          <w:sz w:val="22"/>
          <w:szCs w:val="22"/>
        </w:rPr>
      </w:pPr>
      <w:r>
        <w:rPr>
          <w:bCs/>
          <w:noProof/>
          <w:sz w:val="22"/>
          <w:szCs w:val="22"/>
          <w14:ligatures w14:val="standardContextual"/>
        </w:rPr>
        <w:drawing>
          <wp:inline distT="0" distB="0" distL="0" distR="0" wp14:anchorId="0817093D" wp14:editId="3A75DC64">
            <wp:extent cx="5760720" cy="3240405"/>
            <wp:effectExtent l="0" t="0" r="0" b="0"/>
            <wp:docPr id="28783929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39291" name="Obrázek 28783929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2C40E5" w14:textId="77777777" w:rsidR="00496234" w:rsidRPr="007D1534" w:rsidRDefault="00496234" w:rsidP="007D1534">
      <w:pPr>
        <w:jc w:val="both"/>
        <w:rPr>
          <w:bCs/>
          <w:sz w:val="22"/>
          <w:szCs w:val="22"/>
        </w:rPr>
      </w:pPr>
    </w:p>
    <w:p w14:paraId="650015D2" w14:textId="611950AD" w:rsidR="007C4AEA" w:rsidRPr="007C4AEA" w:rsidRDefault="005B737A" w:rsidP="007C4AEA">
      <w:pPr>
        <w:jc w:val="both"/>
        <w:rPr>
          <w:bCs/>
          <w:sz w:val="22"/>
          <w:szCs w:val="22"/>
        </w:rPr>
      </w:pPr>
      <w:r w:rsidRPr="005B737A">
        <w:rPr>
          <w:bCs/>
          <w:sz w:val="22"/>
          <w:szCs w:val="22"/>
        </w:rPr>
        <w:t xml:space="preserve">REALIA FUND SICAV se dlouhodobě drží konzervativního přístupu k investování, který </w:t>
      </w:r>
      <w:r w:rsidR="00DB16F5">
        <w:rPr>
          <w:bCs/>
          <w:sz w:val="22"/>
          <w:szCs w:val="22"/>
        </w:rPr>
        <w:t>se projevuje</w:t>
      </w:r>
      <w:r w:rsidR="00DB16F5" w:rsidRPr="005B737A">
        <w:rPr>
          <w:bCs/>
          <w:sz w:val="22"/>
          <w:szCs w:val="22"/>
        </w:rPr>
        <w:t xml:space="preserve"> </w:t>
      </w:r>
      <w:r w:rsidRPr="005B737A">
        <w:rPr>
          <w:bCs/>
          <w:sz w:val="22"/>
          <w:szCs w:val="22"/>
        </w:rPr>
        <w:t>už při výběru nemovitost</w:t>
      </w:r>
      <w:r w:rsidR="00DB16F5">
        <w:rPr>
          <w:bCs/>
          <w:sz w:val="22"/>
          <w:szCs w:val="22"/>
        </w:rPr>
        <w:t>í</w:t>
      </w:r>
      <w:r w:rsidRPr="005B737A">
        <w:rPr>
          <w:bCs/>
          <w:sz w:val="22"/>
          <w:szCs w:val="22"/>
        </w:rPr>
        <w:t xml:space="preserve">. Fond se zaměřuje </w:t>
      </w:r>
      <w:r w:rsidR="007C4AEA">
        <w:rPr>
          <w:bCs/>
          <w:sz w:val="22"/>
          <w:szCs w:val="22"/>
        </w:rPr>
        <w:t>výhradně</w:t>
      </w:r>
      <w:r w:rsidRPr="005B737A">
        <w:rPr>
          <w:bCs/>
          <w:sz w:val="22"/>
          <w:szCs w:val="22"/>
        </w:rPr>
        <w:t xml:space="preserve"> na </w:t>
      </w:r>
      <w:r w:rsidR="0060500A">
        <w:rPr>
          <w:bCs/>
          <w:sz w:val="22"/>
          <w:szCs w:val="22"/>
        </w:rPr>
        <w:t xml:space="preserve">plně pronajaté </w:t>
      </w:r>
      <w:r w:rsidRPr="005B737A">
        <w:rPr>
          <w:bCs/>
          <w:sz w:val="22"/>
          <w:szCs w:val="22"/>
        </w:rPr>
        <w:t xml:space="preserve">retailové parky, které generují dlouhodobě udržitelný výnos. Financování probíhá </w:t>
      </w:r>
      <w:r w:rsidR="0060500A">
        <w:rPr>
          <w:bCs/>
          <w:sz w:val="22"/>
          <w:szCs w:val="22"/>
        </w:rPr>
        <w:t xml:space="preserve">vždy </w:t>
      </w:r>
      <w:r w:rsidRPr="005B737A">
        <w:rPr>
          <w:bCs/>
          <w:sz w:val="22"/>
          <w:szCs w:val="22"/>
        </w:rPr>
        <w:t xml:space="preserve">se zafixovanými úrokovými sazbami, zpravidla na pětileté období, a </w:t>
      </w:r>
      <w:r w:rsidR="0060500A">
        <w:rPr>
          <w:bCs/>
          <w:sz w:val="22"/>
          <w:szCs w:val="22"/>
        </w:rPr>
        <w:t xml:space="preserve">všechny </w:t>
      </w:r>
      <w:r w:rsidRPr="005B737A">
        <w:rPr>
          <w:bCs/>
          <w:sz w:val="22"/>
          <w:szCs w:val="22"/>
        </w:rPr>
        <w:t>nájemní smlouvy standardně obsahují inflační doložky. Tento přístup fondu opakovaně umožňuje přinášet investorům stabilní výnosy i v období tržních výkyvů.</w:t>
      </w:r>
      <w:r w:rsidR="007C4AEA">
        <w:rPr>
          <w:bCs/>
          <w:sz w:val="22"/>
          <w:szCs w:val="22"/>
        </w:rPr>
        <w:t xml:space="preserve"> </w:t>
      </w:r>
    </w:p>
    <w:p w14:paraId="5CCE95F6" w14:textId="77777777" w:rsidR="008452AD" w:rsidRPr="00A432D4" w:rsidRDefault="008452AD" w:rsidP="002B7BC3">
      <w:pPr>
        <w:jc w:val="both"/>
        <w:rPr>
          <w:bCs/>
          <w:sz w:val="22"/>
          <w:szCs w:val="22"/>
        </w:rPr>
      </w:pPr>
    </w:p>
    <w:p w14:paraId="3A1C26B6" w14:textId="77777777" w:rsidR="008A117A" w:rsidRPr="007C4AEA" w:rsidRDefault="008A117A" w:rsidP="008A117A">
      <w:pPr>
        <w:jc w:val="both"/>
        <w:rPr>
          <w:b/>
          <w:sz w:val="18"/>
          <w:szCs w:val="18"/>
        </w:rPr>
      </w:pPr>
      <w:r w:rsidRPr="007C4AEA">
        <w:rPr>
          <w:b/>
          <w:sz w:val="18"/>
          <w:szCs w:val="18"/>
        </w:rPr>
        <w:t>O REALIA FUND SICAV, a.s.</w:t>
      </w:r>
    </w:p>
    <w:p w14:paraId="6505E4E3" w14:textId="77777777" w:rsidR="008A117A" w:rsidRPr="007C4AEA" w:rsidRDefault="008A117A" w:rsidP="008A117A">
      <w:pPr>
        <w:jc w:val="both"/>
        <w:rPr>
          <w:sz w:val="18"/>
          <w:szCs w:val="18"/>
        </w:rPr>
      </w:pPr>
      <w:r w:rsidRPr="007C4AEA">
        <w:rPr>
          <w:sz w:val="18"/>
          <w:szCs w:val="18"/>
        </w:rPr>
        <w:t xml:space="preserve">REALIA FUND SICAV, a.s. je fondem kvalifikovaných investorů s dlouholetými zkušenostmi na trhu realitních investic. S důrazem na dlouhodobou stabilitu a růst se REALIA soustředí na pečlivý výběr investic a vytváření atraktivních investičních příležitostí pro své klienty, jimž umožňuje investovat částky od 1 milionu korun. </w:t>
      </w:r>
    </w:p>
    <w:p w14:paraId="2E2AD153" w14:textId="77777777" w:rsidR="008A117A" w:rsidRPr="007C4AEA" w:rsidRDefault="008A117A" w:rsidP="008A117A">
      <w:pPr>
        <w:jc w:val="both"/>
        <w:rPr>
          <w:sz w:val="18"/>
          <w:szCs w:val="18"/>
        </w:rPr>
      </w:pPr>
    </w:p>
    <w:p w14:paraId="6C3E3CE4" w14:textId="03B71B3C" w:rsidR="00B21E57" w:rsidRPr="007C4AEA" w:rsidRDefault="008A117A" w:rsidP="005F3A20">
      <w:pPr>
        <w:jc w:val="both"/>
        <w:rPr>
          <w:sz w:val="18"/>
          <w:szCs w:val="18"/>
        </w:rPr>
      </w:pPr>
      <w:r w:rsidRPr="007C4AEA">
        <w:rPr>
          <w:sz w:val="18"/>
          <w:szCs w:val="18"/>
        </w:rPr>
        <w:t xml:space="preserve">V současné době fond REALIA vlastní </w:t>
      </w:r>
      <w:r w:rsidR="007D1534" w:rsidRPr="007C4AEA">
        <w:rPr>
          <w:sz w:val="18"/>
          <w:szCs w:val="18"/>
        </w:rPr>
        <w:t>2</w:t>
      </w:r>
      <w:r w:rsidR="005B737A" w:rsidRPr="007C4AEA">
        <w:rPr>
          <w:sz w:val="18"/>
          <w:szCs w:val="18"/>
        </w:rPr>
        <w:t>1</w:t>
      </w:r>
      <w:r w:rsidRPr="007C4AEA">
        <w:rPr>
          <w:sz w:val="18"/>
          <w:szCs w:val="18"/>
        </w:rPr>
        <w:t xml:space="preserve"> retailových parků v celkové hodnotě 2,</w:t>
      </w:r>
      <w:r w:rsidR="005B737A" w:rsidRPr="007C4AEA">
        <w:rPr>
          <w:sz w:val="18"/>
          <w:szCs w:val="18"/>
        </w:rPr>
        <w:t>8</w:t>
      </w:r>
      <w:r w:rsidRPr="007C4AEA">
        <w:rPr>
          <w:sz w:val="18"/>
          <w:szCs w:val="18"/>
        </w:rPr>
        <w:t xml:space="preserve"> miliardy korun. Budovy se nacházejí napříč celou republikou, např. v Plzni,</w:t>
      </w:r>
      <w:r w:rsidR="00AB6B05" w:rsidRPr="007C4AEA">
        <w:rPr>
          <w:sz w:val="18"/>
          <w:szCs w:val="18"/>
        </w:rPr>
        <w:t xml:space="preserve"> </w:t>
      </w:r>
      <w:r w:rsidRPr="007C4AEA">
        <w:rPr>
          <w:sz w:val="18"/>
          <w:szCs w:val="18"/>
        </w:rPr>
        <w:t xml:space="preserve">Českých Budějovicích, </w:t>
      </w:r>
      <w:r w:rsidR="00230060" w:rsidRPr="007C4AEA">
        <w:rPr>
          <w:sz w:val="18"/>
          <w:szCs w:val="18"/>
        </w:rPr>
        <w:t xml:space="preserve">Ostravě, </w:t>
      </w:r>
      <w:r w:rsidRPr="007C4AEA">
        <w:rPr>
          <w:sz w:val="18"/>
          <w:szCs w:val="18"/>
        </w:rPr>
        <w:t xml:space="preserve">Benešově, Pelhřimově, Kladně nebo ve Valašském Meziříčí. Všechny parky jsou plně obsazeny nájemci, kteří mají uzavřené dlouhodobé smlouvy, zpravidla pětileté až desetileté. </w:t>
      </w:r>
      <w:r w:rsidRPr="007C4AEA">
        <w:rPr>
          <w:sz w:val="18"/>
          <w:szCs w:val="18"/>
        </w:rPr>
        <w:lastRenderedPageBreak/>
        <w:t xml:space="preserve">Průměrná doba do konce nájemních smluv (WAULT) je přes 6 let. Mezi nejvýznamnější nájemce patří BILLA, LIDL, PENNY, DM drogerie, ROSSMANN, </w:t>
      </w:r>
      <w:r w:rsidR="00230060" w:rsidRPr="007C4AEA">
        <w:rPr>
          <w:sz w:val="18"/>
          <w:szCs w:val="18"/>
        </w:rPr>
        <w:t>TETA drogerie, lékárny Dr.</w:t>
      </w:r>
      <w:r w:rsidR="00573346" w:rsidRPr="007C4AEA">
        <w:rPr>
          <w:sz w:val="18"/>
          <w:szCs w:val="18"/>
        </w:rPr>
        <w:t xml:space="preserve"> </w:t>
      </w:r>
      <w:r w:rsidR="00230060" w:rsidRPr="007C4AEA">
        <w:rPr>
          <w:sz w:val="18"/>
          <w:szCs w:val="18"/>
        </w:rPr>
        <w:t xml:space="preserve">Max, </w:t>
      </w:r>
      <w:r w:rsidRPr="007C4AEA">
        <w:rPr>
          <w:sz w:val="18"/>
          <w:szCs w:val="18"/>
        </w:rPr>
        <w:t xml:space="preserve">KFC a mnoho dalších. </w:t>
      </w:r>
    </w:p>
    <w:p w14:paraId="263B2E5B" w14:textId="53421D2D" w:rsidR="008F3AF6" w:rsidRDefault="008F3AF6" w:rsidP="005F3A20">
      <w:pPr>
        <w:jc w:val="both"/>
        <w:rPr>
          <w:b/>
          <w:bCs/>
          <w:sz w:val="20"/>
          <w:szCs w:val="20"/>
        </w:rPr>
      </w:pPr>
    </w:p>
    <w:p w14:paraId="2A662529" w14:textId="77777777" w:rsidR="0060500A" w:rsidRDefault="0060500A" w:rsidP="005F3A20">
      <w:pPr>
        <w:jc w:val="both"/>
        <w:rPr>
          <w:b/>
          <w:bCs/>
          <w:sz w:val="20"/>
          <w:szCs w:val="20"/>
        </w:rPr>
      </w:pPr>
    </w:p>
    <w:p w14:paraId="3104E3A8" w14:textId="6569C86F" w:rsidR="0036177F" w:rsidRDefault="0036177F" w:rsidP="005F3A20">
      <w:pPr>
        <w:jc w:val="both"/>
        <w:rPr>
          <w:b/>
          <w:bCs/>
          <w:sz w:val="20"/>
          <w:szCs w:val="20"/>
        </w:rPr>
      </w:pPr>
      <w:r w:rsidRPr="00B91662">
        <w:rPr>
          <w:b/>
          <w:bCs/>
          <w:sz w:val="20"/>
          <w:szCs w:val="20"/>
        </w:rPr>
        <w:t>KONTAKT PRO MÉDIA</w:t>
      </w:r>
      <w:r w:rsidR="00014469">
        <w:rPr>
          <w:b/>
          <w:bCs/>
          <w:sz w:val="20"/>
          <w:szCs w:val="20"/>
        </w:rPr>
        <w:t>, VÍCE INFORMACÍ</w:t>
      </w:r>
    </w:p>
    <w:p w14:paraId="062C169F" w14:textId="4215A1FC" w:rsidR="00014469" w:rsidRPr="007E5AEC" w:rsidRDefault="00014469" w:rsidP="005F3A20">
      <w:pPr>
        <w:jc w:val="both"/>
        <w:rPr>
          <w:b/>
          <w:bCs/>
          <w:sz w:val="22"/>
          <w:szCs w:val="22"/>
        </w:rPr>
      </w:pPr>
      <w:r w:rsidRPr="007E5AEC">
        <w:rPr>
          <w:b/>
          <w:bCs/>
          <w:sz w:val="22"/>
          <w:szCs w:val="22"/>
        </w:rPr>
        <w:t>Crest Communications</w:t>
      </w:r>
    </w:p>
    <w:p w14:paraId="00D67B17" w14:textId="1E402685" w:rsidR="00014469" w:rsidRPr="007E5AEC" w:rsidRDefault="00DE28BC" w:rsidP="00014469">
      <w:pPr>
        <w:spacing w:line="280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Václav Junek</w:t>
      </w:r>
      <w:r w:rsidR="00014469" w:rsidRPr="007E5AEC">
        <w:rPr>
          <w:rFonts w:asciiTheme="minorHAnsi" w:hAnsiTheme="minorHAnsi" w:cstheme="minorHAnsi"/>
          <w:sz w:val="22"/>
          <w:szCs w:val="22"/>
        </w:rPr>
        <w:t xml:space="preserve">, </w:t>
      </w:r>
      <w:r w:rsidR="00014469" w:rsidRPr="007E5AEC">
        <w:rPr>
          <w:rFonts w:cstheme="minorHAnsi"/>
          <w:sz w:val="22"/>
          <w:szCs w:val="22"/>
        </w:rPr>
        <w:t>tel.</w:t>
      </w:r>
      <w:r w:rsidR="00B260CA">
        <w:rPr>
          <w:rFonts w:cstheme="minorHAnsi"/>
          <w:sz w:val="22"/>
          <w:szCs w:val="22"/>
        </w:rPr>
        <w:t>:</w:t>
      </w:r>
      <w:r w:rsidR="00014469" w:rsidRPr="007E5AEC">
        <w:rPr>
          <w:rFonts w:cstheme="minorHAnsi"/>
          <w:sz w:val="22"/>
          <w:szCs w:val="22"/>
        </w:rPr>
        <w:t xml:space="preserve"> </w:t>
      </w:r>
      <w:r w:rsidRPr="00DE28BC">
        <w:rPr>
          <w:rFonts w:asciiTheme="minorHAnsi" w:hAnsiTheme="minorHAnsi" w:cstheme="minorHAnsi"/>
          <w:sz w:val="22"/>
          <w:szCs w:val="22"/>
        </w:rPr>
        <w:t>602 464 128</w:t>
      </w:r>
    </w:p>
    <w:p w14:paraId="3F3CDC8D" w14:textId="38EB56AD" w:rsidR="00014469" w:rsidRDefault="00014469" w:rsidP="00014469">
      <w:pPr>
        <w:pStyle w:val="Zhlav"/>
        <w:tabs>
          <w:tab w:val="clear" w:pos="4536"/>
          <w:tab w:val="clear" w:pos="9072"/>
        </w:tabs>
        <w:spacing w:line="280" w:lineRule="atLeast"/>
        <w:rPr>
          <w:rFonts w:cstheme="minorHAnsi"/>
        </w:rPr>
      </w:pPr>
      <w:r w:rsidRPr="007E5AEC">
        <w:rPr>
          <w:rFonts w:cstheme="minorHAnsi"/>
        </w:rPr>
        <w:t xml:space="preserve">e-mail: </w:t>
      </w:r>
      <w:hyperlink r:id="rId11" w:history="1">
        <w:r w:rsidR="00DE28BC" w:rsidRPr="003A4B28">
          <w:rPr>
            <w:rStyle w:val="Hypertextovodkaz"/>
            <w:rFonts w:cstheme="minorHAnsi"/>
          </w:rPr>
          <w:t>vaclav.junek@crestcom.cz</w:t>
        </w:r>
      </w:hyperlink>
    </w:p>
    <w:p w14:paraId="5F20C7FD" w14:textId="77777777" w:rsidR="008F3AF6" w:rsidRDefault="008F3AF6" w:rsidP="005F3A20">
      <w:pPr>
        <w:jc w:val="both"/>
        <w:rPr>
          <w:b/>
          <w:bCs/>
          <w:sz w:val="22"/>
          <w:szCs w:val="22"/>
        </w:rPr>
      </w:pPr>
    </w:p>
    <w:p w14:paraId="29BF12CE" w14:textId="3EC6791B" w:rsidR="00014469" w:rsidRPr="007E5AEC" w:rsidRDefault="00014469" w:rsidP="005F3A20">
      <w:pPr>
        <w:jc w:val="both"/>
        <w:rPr>
          <w:b/>
          <w:bCs/>
          <w:sz w:val="22"/>
          <w:szCs w:val="22"/>
        </w:rPr>
      </w:pPr>
      <w:r w:rsidRPr="007E5AEC">
        <w:rPr>
          <w:b/>
          <w:bCs/>
          <w:sz w:val="22"/>
          <w:szCs w:val="22"/>
        </w:rPr>
        <w:t>REALIA FUND SICAV</w:t>
      </w:r>
    </w:p>
    <w:p w14:paraId="4EEA2DC4" w14:textId="7429AF0E" w:rsidR="0036177F" w:rsidRPr="007E5AEC" w:rsidRDefault="0036177F" w:rsidP="005F3A20">
      <w:pPr>
        <w:jc w:val="both"/>
        <w:rPr>
          <w:sz w:val="22"/>
          <w:szCs w:val="22"/>
        </w:rPr>
      </w:pPr>
      <w:r w:rsidRPr="007E5AEC">
        <w:rPr>
          <w:sz w:val="22"/>
          <w:szCs w:val="22"/>
        </w:rPr>
        <w:t>Radka Piskorová</w:t>
      </w:r>
      <w:r w:rsidR="00B260CA">
        <w:rPr>
          <w:sz w:val="22"/>
          <w:szCs w:val="22"/>
        </w:rPr>
        <w:t>,</w:t>
      </w:r>
      <w:r w:rsidRPr="007E5AEC">
        <w:rPr>
          <w:sz w:val="22"/>
          <w:szCs w:val="22"/>
        </w:rPr>
        <w:t xml:space="preserve"> tel.: 775 264 669 </w:t>
      </w:r>
    </w:p>
    <w:p w14:paraId="3E762944" w14:textId="476E1F57" w:rsidR="00402056" w:rsidRPr="008F3AF6" w:rsidRDefault="0036177F" w:rsidP="005F3A20">
      <w:pPr>
        <w:jc w:val="both"/>
        <w:rPr>
          <w:sz w:val="22"/>
          <w:szCs w:val="22"/>
        </w:rPr>
      </w:pPr>
      <w:r w:rsidRPr="007E5AEC">
        <w:rPr>
          <w:sz w:val="22"/>
          <w:szCs w:val="22"/>
        </w:rPr>
        <w:t>e</w:t>
      </w:r>
      <w:r w:rsidR="00014469" w:rsidRPr="007E5AEC">
        <w:rPr>
          <w:sz w:val="22"/>
          <w:szCs w:val="22"/>
        </w:rPr>
        <w:t>-</w:t>
      </w:r>
      <w:r w:rsidRPr="007E5AEC">
        <w:rPr>
          <w:sz w:val="22"/>
          <w:szCs w:val="22"/>
        </w:rPr>
        <w:t xml:space="preserve">mail: </w:t>
      </w:r>
      <w:hyperlink r:id="rId12" w:history="1">
        <w:r w:rsidR="00402056" w:rsidRPr="007E5AEC">
          <w:rPr>
            <w:rStyle w:val="Hypertextovodkaz"/>
            <w:sz w:val="22"/>
            <w:szCs w:val="22"/>
          </w:rPr>
          <w:t>piskorova@realiagroup.cz</w:t>
        </w:r>
      </w:hyperlink>
    </w:p>
    <w:sectPr w:rsidR="00402056" w:rsidRPr="008F3AF6" w:rsidSect="00B376E4">
      <w:headerReference w:type="default" r:id="rId13"/>
      <w:footerReference w:type="default" r:id="rId14"/>
      <w:pgSz w:w="11906" w:h="16838"/>
      <w:pgMar w:top="1417" w:right="1417" w:bottom="1417" w:left="1417" w:header="19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E9706" w14:textId="77777777" w:rsidR="001A77BF" w:rsidRDefault="001A77BF" w:rsidP="00567D09">
      <w:r>
        <w:separator/>
      </w:r>
    </w:p>
  </w:endnote>
  <w:endnote w:type="continuationSeparator" w:id="0">
    <w:p w14:paraId="45960BF1" w14:textId="77777777" w:rsidR="001A77BF" w:rsidRDefault="001A77BF" w:rsidP="00567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5FA1C" w14:textId="28083EAF" w:rsidR="003F0285" w:rsidRDefault="00FC2ED7" w:rsidP="003F0285">
    <w:pPr>
      <w:pStyle w:val="Zpat"/>
      <w:tabs>
        <w:tab w:val="clear" w:pos="4536"/>
        <w:tab w:val="center" w:pos="5954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598C60" wp14:editId="09CAFCFF">
              <wp:simplePos x="0" y="0"/>
              <wp:positionH relativeFrom="column">
                <wp:posOffset>-892868</wp:posOffset>
              </wp:positionH>
              <wp:positionV relativeFrom="paragraph">
                <wp:posOffset>34867</wp:posOffset>
              </wp:positionV>
              <wp:extent cx="7550728" cy="13855"/>
              <wp:effectExtent l="19050" t="19050" r="31750" b="24765"/>
              <wp:wrapNone/>
              <wp:docPr id="996227056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0728" cy="13855"/>
                      </a:xfrm>
                      <a:prstGeom prst="line">
                        <a:avLst/>
                      </a:prstGeom>
                      <a:ln w="28575">
                        <a:solidFill>
                          <a:srgbClr val="BA755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line id="Přímá spojnice 2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ba7558" strokeweight="2.25pt" from="-70.3pt,2.75pt" to="524.25pt,3.85pt" w14:anchorId="08CD49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">
              <v:stroke joinstyle="miter"/>
            </v:line>
          </w:pict>
        </mc:Fallback>
      </mc:AlternateContent>
    </w:r>
  </w:p>
  <w:tbl>
    <w:tblPr>
      <w:tblStyle w:val="Mkatabulky"/>
      <w:tblW w:w="872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22"/>
      <w:gridCol w:w="3405"/>
    </w:tblGrid>
    <w:tr w:rsidR="003F0285" w14:paraId="524FAB34" w14:textId="77777777" w:rsidTr="003F0285">
      <w:trPr>
        <w:trHeight w:val="985"/>
      </w:trPr>
      <w:tc>
        <w:tcPr>
          <w:tcW w:w="5322" w:type="dxa"/>
        </w:tcPr>
        <w:p w14:paraId="475D5360" w14:textId="66261515" w:rsidR="003F0285" w:rsidRPr="00625AC5" w:rsidRDefault="003F0285" w:rsidP="003F0285">
          <w:pPr>
            <w:pStyle w:val="Zpat"/>
            <w:tabs>
              <w:tab w:val="clear" w:pos="4536"/>
              <w:tab w:val="clear" w:pos="9072"/>
              <w:tab w:val="left" w:pos="5103"/>
            </w:tabs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625AC5">
            <w:rPr>
              <w:rFonts w:asciiTheme="majorHAnsi" w:hAnsiTheme="majorHAnsi" w:cstheme="majorHAnsi"/>
              <w:b/>
              <w:bCs/>
              <w:sz w:val="20"/>
              <w:szCs w:val="20"/>
            </w:rPr>
            <w:t xml:space="preserve">REALIA FUND SICAV, a.s., </w:t>
          </w:r>
          <w:r w:rsidRPr="00625AC5">
            <w:rPr>
              <w:rFonts w:asciiTheme="majorHAnsi" w:hAnsiTheme="majorHAnsi" w:cstheme="majorHAnsi"/>
              <w:sz w:val="20"/>
              <w:szCs w:val="20"/>
            </w:rPr>
            <w:t xml:space="preserve">REALIA Podfond Retail </w:t>
          </w:r>
          <w:proofErr w:type="spellStart"/>
          <w:r w:rsidRPr="00625AC5">
            <w:rPr>
              <w:rFonts w:asciiTheme="majorHAnsi" w:hAnsiTheme="majorHAnsi" w:cstheme="majorHAnsi"/>
              <w:sz w:val="20"/>
              <w:szCs w:val="20"/>
            </w:rPr>
            <w:t>Parks</w:t>
          </w:r>
          <w:proofErr w:type="spellEnd"/>
        </w:p>
        <w:p w14:paraId="6A9D68CA" w14:textId="6E3A6CB0" w:rsidR="003F0285" w:rsidRPr="003F0285" w:rsidRDefault="003F0285" w:rsidP="003F0285">
          <w:pPr>
            <w:pStyle w:val="Zpat"/>
            <w:tabs>
              <w:tab w:val="clear" w:pos="4536"/>
            </w:tabs>
            <w:rPr>
              <w:rFonts w:asciiTheme="majorHAnsi" w:hAnsiTheme="majorHAnsi" w:cstheme="majorHAnsi"/>
            </w:rPr>
          </w:pPr>
          <w:r w:rsidRPr="00625AC5">
            <w:rPr>
              <w:rFonts w:asciiTheme="majorHAnsi" w:hAnsiTheme="majorHAnsi" w:cstheme="majorHAnsi"/>
              <w:sz w:val="20"/>
              <w:szCs w:val="20"/>
            </w:rPr>
            <w:t>Kolbenova 882/</w:t>
          </w:r>
          <w:proofErr w:type="gramStart"/>
          <w:r w:rsidRPr="00625AC5">
            <w:rPr>
              <w:rFonts w:asciiTheme="majorHAnsi" w:hAnsiTheme="majorHAnsi" w:cstheme="majorHAnsi"/>
              <w:sz w:val="20"/>
              <w:szCs w:val="20"/>
            </w:rPr>
            <w:t>5a</w:t>
          </w:r>
          <w:proofErr w:type="gramEnd"/>
          <w:r w:rsidRPr="00625AC5">
            <w:rPr>
              <w:rFonts w:asciiTheme="majorHAnsi" w:hAnsiTheme="majorHAnsi" w:cstheme="majorHAnsi"/>
              <w:sz w:val="20"/>
              <w:szCs w:val="20"/>
            </w:rPr>
            <w:t>, 190 00 Praha 9 - Vysočany</w:t>
          </w:r>
          <w:r w:rsidRPr="00625AC5">
            <w:rPr>
              <w:b/>
              <w:bCs/>
              <w:sz w:val="20"/>
              <w:szCs w:val="20"/>
            </w:rPr>
            <w:ptab w:relativeTo="margin" w:alignment="right" w:leader="none"/>
          </w:r>
        </w:p>
      </w:tc>
      <w:tc>
        <w:tcPr>
          <w:tcW w:w="3405" w:type="dxa"/>
        </w:tcPr>
        <w:p w14:paraId="4637480C" w14:textId="59478FF1" w:rsidR="003F0285" w:rsidRPr="00625AC5" w:rsidRDefault="003F0285" w:rsidP="003F0285">
          <w:pPr>
            <w:pStyle w:val="Zpat"/>
            <w:tabs>
              <w:tab w:val="clear" w:pos="4536"/>
              <w:tab w:val="center" w:pos="5954"/>
            </w:tabs>
            <w:jc w:val="right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625AC5">
            <w:rPr>
              <w:rFonts w:asciiTheme="majorHAnsi" w:hAnsiTheme="majorHAnsi" w:cstheme="majorHAnsi"/>
              <w:b/>
              <w:bCs/>
              <w:sz w:val="20"/>
              <w:szCs w:val="20"/>
            </w:rPr>
            <w:t>www.realiagroup.cz</w:t>
          </w:r>
        </w:p>
        <w:p w14:paraId="33CA044C" w14:textId="1FEEB571" w:rsidR="003F0285" w:rsidRPr="003F0285" w:rsidRDefault="003F0285" w:rsidP="003F0285">
          <w:pPr>
            <w:pStyle w:val="Zpat"/>
            <w:tabs>
              <w:tab w:val="clear" w:pos="4536"/>
              <w:tab w:val="center" w:pos="5954"/>
            </w:tabs>
            <w:jc w:val="right"/>
            <w:rPr>
              <w:rFonts w:asciiTheme="majorHAnsi" w:hAnsiTheme="majorHAnsi" w:cstheme="majorHAnsi"/>
              <w:b/>
              <w:bCs/>
              <w:u w:val="single"/>
            </w:rPr>
          </w:pPr>
          <w:r w:rsidRPr="00625AC5">
            <w:rPr>
              <w:rFonts w:asciiTheme="majorHAnsi" w:hAnsiTheme="majorHAnsi" w:cstheme="majorHAnsi"/>
              <w:sz w:val="20"/>
              <w:szCs w:val="20"/>
            </w:rPr>
            <w:t>info@realiagroup.cz</w:t>
          </w:r>
        </w:p>
      </w:tc>
    </w:tr>
  </w:tbl>
  <w:p w14:paraId="78CD9935" w14:textId="64540399" w:rsidR="003F0285" w:rsidRPr="003F0285" w:rsidRDefault="003F0285" w:rsidP="003F0285">
    <w:pPr>
      <w:pStyle w:val="Zpat"/>
      <w:tabs>
        <w:tab w:val="clear" w:pos="4536"/>
        <w:tab w:val="center" w:pos="5954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6A071" w14:textId="77777777" w:rsidR="001A77BF" w:rsidRDefault="001A77BF" w:rsidP="00567D09">
      <w:r>
        <w:separator/>
      </w:r>
    </w:p>
  </w:footnote>
  <w:footnote w:type="continuationSeparator" w:id="0">
    <w:p w14:paraId="1A22CF5E" w14:textId="77777777" w:rsidR="001A77BF" w:rsidRDefault="001A77BF" w:rsidP="00567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91E11" w14:textId="3A3A4CC7" w:rsidR="003F0285" w:rsidRDefault="003F0285">
    <w:pPr>
      <w:pStyle w:val="Zhlav"/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721BC21C" wp14:editId="542B1B88">
          <wp:simplePos x="0" y="0"/>
          <wp:positionH relativeFrom="margin">
            <wp:posOffset>4700905</wp:posOffset>
          </wp:positionH>
          <wp:positionV relativeFrom="paragraph">
            <wp:posOffset>-945515</wp:posOffset>
          </wp:positionV>
          <wp:extent cx="1447800" cy="781283"/>
          <wp:effectExtent l="0" t="0" r="0" b="0"/>
          <wp:wrapNone/>
          <wp:docPr id="92958138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581384" name="Obrázek 92958138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812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D09"/>
    <w:rsid w:val="000032C9"/>
    <w:rsid w:val="00014469"/>
    <w:rsid w:val="000346FD"/>
    <w:rsid w:val="00040F45"/>
    <w:rsid w:val="00050498"/>
    <w:rsid w:val="0005119D"/>
    <w:rsid w:val="000535C5"/>
    <w:rsid w:val="00054F78"/>
    <w:rsid w:val="00061047"/>
    <w:rsid w:val="00067670"/>
    <w:rsid w:val="00075316"/>
    <w:rsid w:val="00075EC6"/>
    <w:rsid w:val="00085D6A"/>
    <w:rsid w:val="0009048B"/>
    <w:rsid w:val="000A79C9"/>
    <w:rsid w:val="000B0077"/>
    <w:rsid w:val="000D6198"/>
    <w:rsid w:val="000D68E7"/>
    <w:rsid w:val="001014DE"/>
    <w:rsid w:val="0010610D"/>
    <w:rsid w:val="0011247F"/>
    <w:rsid w:val="001343FE"/>
    <w:rsid w:val="00137BC6"/>
    <w:rsid w:val="00156DC3"/>
    <w:rsid w:val="00160D1E"/>
    <w:rsid w:val="00162297"/>
    <w:rsid w:val="001678E5"/>
    <w:rsid w:val="001A01E0"/>
    <w:rsid w:val="001A31BA"/>
    <w:rsid w:val="001A77BF"/>
    <w:rsid w:val="001B4010"/>
    <w:rsid w:val="00204E02"/>
    <w:rsid w:val="00217160"/>
    <w:rsid w:val="00230060"/>
    <w:rsid w:val="00235348"/>
    <w:rsid w:val="00250D5A"/>
    <w:rsid w:val="002936E6"/>
    <w:rsid w:val="002B1B05"/>
    <w:rsid w:val="002B5CAD"/>
    <w:rsid w:val="002B6B58"/>
    <w:rsid w:val="002B7BC3"/>
    <w:rsid w:val="002C035D"/>
    <w:rsid w:val="002C320E"/>
    <w:rsid w:val="002D64D8"/>
    <w:rsid w:val="003073B1"/>
    <w:rsid w:val="00314DEA"/>
    <w:rsid w:val="00317F82"/>
    <w:rsid w:val="00332060"/>
    <w:rsid w:val="003367C3"/>
    <w:rsid w:val="00337851"/>
    <w:rsid w:val="00342893"/>
    <w:rsid w:val="00351E5A"/>
    <w:rsid w:val="003521A2"/>
    <w:rsid w:val="0036177F"/>
    <w:rsid w:val="00365FDB"/>
    <w:rsid w:val="003B698F"/>
    <w:rsid w:val="003D3217"/>
    <w:rsid w:val="003F0285"/>
    <w:rsid w:val="003F5B43"/>
    <w:rsid w:val="00402056"/>
    <w:rsid w:val="00411AF4"/>
    <w:rsid w:val="004354C3"/>
    <w:rsid w:val="00476CB8"/>
    <w:rsid w:val="004906AA"/>
    <w:rsid w:val="00496234"/>
    <w:rsid w:val="004B3016"/>
    <w:rsid w:val="004C45B3"/>
    <w:rsid w:val="005038E4"/>
    <w:rsid w:val="00526A88"/>
    <w:rsid w:val="005275AD"/>
    <w:rsid w:val="00536846"/>
    <w:rsid w:val="0056108D"/>
    <w:rsid w:val="00567D09"/>
    <w:rsid w:val="00570165"/>
    <w:rsid w:val="00573346"/>
    <w:rsid w:val="005747B9"/>
    <w:rsid w:val="00574C81"/>
    <w:rsid w:val="00580429"/>
    <w:rsid w:val="005A06BB"/>
    <w:rsid w:val="005A2958"/>
    <w:rsid w:val="005B71F0"/>
    <w:rsid w:val="005B737A"/>
    <w:rsid w:val="005E245E"/>
    <w:rsid w:val="005F3A20"/>
    <w:rsid w:val="00603221"/>
    <w:rsid w:val="0060500A"/>
    <w:rsid w:val="00625AC5"/>
    <w:rsid w:val="00642990"/>
    <w:rsid w:val="00655191"/>
    <w:rsid w:val="0066492E"/>
    <w:rsid w:val="006724D6"/>
    <w:rsid w:val="00680789"/>
    <w:rsid w:val="00685FB9"/>
    <w:rsid w:val="006A5FD9"/>
    <w:rsid w:val="006A6B94"/>
    <w:rsid w:val="006B7CB6"/>
    <w:rsid w:val="006D008B"/>
    <w:rsid w:val="006E26AA"/>
    <w:rsid w:val="006F0CD3"/>
    <w:rsid w:val="006F27F4"/>
    <w:rsid w:val="00704CC6"/>
    <w:rsid w:val="00705DE5"/>
    <w:rsid w:val="007218E8"/>
    <w:rsid w:val="00723057"/>
    <w:rsid w:val="00742225"/>
    <w:rsid w:val="007553FC"/>
    <w:rsid w:val="00760843"/>
    <w:rsid w:val="0076622A"/>
    <w:rsid w:val="007B1370"/>
    <w:rsid w:val="007B6124"/>
    <w:rsid w:val="007C4AEA"/>
    <w:rsid w:val="007D1534"/>
    <w:rsid w:val="007E06CC"/>
    <w:rsid w:val="007E5AEC"/>
    <w:rsid w:val="00800F18"/>
    <w:rsid w:val="008029E6"/>
    <w:rsid w:val="0082260E"/>
    <w:rsid w:val="00823C6C"/>
    <w:rsid w:val="00825DEB"/>
    <w:rsid w:val="00831629"/>
    <w:rsid w:val="00840CEF"/>
    <w:rsid w:val="00841E2F"/>
    <w:rsid w:val="008452AD"/>
    <w:rsid w:val="00854A78"/>
    <w:rsid w:val="00865021"/>
    <w:rsid w:val="00867E1F"/>
    <w:rsid w:val="00884E7C"/>
    <w:rsid w:val="008975A9"/>
    <w:rsid w:val="008A117A"/>
    <w:rsid w:val="008A1BDB"/>
    <w:rsid w:val="008C1DF5"/>
    <w:rsid w:val="008C5607"/>
    <w:rsid w:val="008D55A5"/>
    <w:rsid w:val="008D76AC"/>
    <w:rsid w:val="008F3AF6"/>
    <w:rsid w:val="008F53C5"/>
    <w:rsid w:val="00912783"/>
    <w:rsid w:val="00913D6B"/>
    <w:rsid w:val="009162D9"/>
    <w:rsid w:val="00936AAB"/>
    <w:rsid w:val="0093703A"/>
    <w:rsid w:val="009426D6"/>
    <w:rsid w:val="00980791"/>
    <w:rsid w:val="009928BE"/>
    <w:rsid w:val="009B5B25"/>
    <w:rsid w:val="009C2706"/>
    <w:rsid w:val="009D65BA"/>
    <w:rsid w:val="009E5734"/>
    <w:rsid w:val="009F184E"/>
    <w:rsid w:val="00A04EA2"/>
    <w:rsid w:val="00A07DAF"/>
    <w:rsid w:val="00A11E48"/>
    <w:rsid w:val="00A12A99"/>
    <w:rsid w:val="00A432D4"/>
    <w:rsid w:val="00A5002B"/>
    <w:rsid w:val="00A70C2F"/>
    <w:rsid w:val="00A83597"/>
    <w:rsid w:val="00A9264C"/>
    <w:rsid w:val="00AB6B05"/>
    <w:rsid w:val="00AD1EBD"/>
    <w:rsid w:val="00AD3782"/>
    <w:rsid w:val="00AF14E5"/>
    <w:rsid w:val="00AF2E2C"/>
    <w:rsid w:val="00AF5E88"/>
    <w:rsid w:val="00B21E57"/>
    <w:rsid w:val="00B233E8"/>
    <w:rsid w:val="00B234F5"/>
    <w:rsid w:val="00B260CA"/>
    <w:rsid w:val="00B376E4"/>
    <w:rsid w:val="00B54D8F"/>
    <w:rsid w:val="00B65776"/>
    <w:rsid w:val="00B758CD"/>
    <w:rsid w:val="00B83492"/>
    <w:rsid w:val="00B91662"/>
    <w:rsid w:val="00BA4A69"/>
    <w:rsid w:val="00BA5C5E"/>
    <w:rsid w:val="00BA5E0F"/>
    <w:rsid w:val="00BE7064"/>
    <w:rsid w:val="00BF4F20"/>
    <w:rsid w:val="00C00D4E"/>
    <w:rsid w:val="00C06292"/>
    <w:rsid w:val="00C06483"/>
    <w:rsid w:val="00C1292F"/>
    <w:rsid w:val="00C13A1A"/>
    <w:rsid w:val="00C177FE"/>
    <w:rsid w:val="00C57683"/>
    <w:rsid w:val="00C76E32"/>
    <w:rsid w:val="00C84985"/>
    <w:rsid w:val="00C91369"/>
    <w:rsid w:val="00C9635A"/>
    <w:rsid w:val="00CA1CF5"/>
    <w:rsid w:val="00CA36F0"/>
    <w:rsid w:val="00CB6056"/>
    <w:rsid w:val="00CE6733"/>
    <w:rsid w:val="00CF59D0"/>
    <w:rsid w:val="00D0683F"/>
    <w:rsid w:val="00D16350"/>
    <w:rsid w:val="00D306C3"/>
    <w:rsid w:val="00D353C2"/>
    <w:rsid w:val="00D63E6F"/>
    <w:rsid w:val="00D73624"/>
    <w:rsid w:val="00D74862"/>
    <w:rsid w:val="00DA408B"/>
    <w:rsid w:val="00DB16F5"/>
    <w:rsid w:val="00DB2315"/>
    <w:rsid w:val="00DB5AA0"/>
    <w:rsid w:val="00DD4C89"/>
    <w:rsid w:val="00DD76C0"/>
    <w:rsid w:val="00DE28BC"/>
    <w:rsid w:val="00E13BB1"/>
    <w:rsid w:val="00E326C2"/>
    <w:rsid w:val="00E3319C"/>
    <w:rsid w:val="00E40815"/>
    <w:rsid w:val="00E535F0"/>
    <w:rsid w:val="00E65572"/>
    <w:rsid w:val="00E85C20"/>
    <w:rsid w:val="00E97195"/>
    <w:rsid w:val="00EB64B6"/>
    <w:rsid w:val="00ED1384"/>
    <w:rsid w:val="00F21CE2"/>
    <w:rsid w:val="00F22CD4"/>
    <w:rsid w:val="00F311F9"/>
    <w:rsid w:val="00F32371"/>
    <w:rsid w:val="00F6384D"/>
    <w:rsid w:val="00F97A94"/>
    <w:rsid w:val="00FC2ED7"/>
    <w:rsid w:val="00FE3D80"/>
    <w:rsid w:val="0B6E53B6"/>
    <w:rsid w:val="4F22BB69"/>
    <w:rsid w:val="4F4A87AB"/>
    <w:rsid w:val="78AFF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A90987"/>
  <w15:chartTrackingRefBased/>
  <w15:docId w15:val="{380DA608-A6E1-4B3D-B0CC-310031A4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AC5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67D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rsid w:val="00567D09"/>
  </w:style>
  <w:style w:type="paragraph" w:styleId="Zpat">
    <w:name w:val="footer"/>
    <w:basedOn w:val="Normln"/>
    <w:link w:val="ZpatChar"/>
    <w:uiPriority w:val="99"/>
    <w:unhideWhenUsed/>
    <w:rsid w:val="00567D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567D09"/>
  </w:style>
  <w:style w:type="character" w:styleId="Hypertextovodkaz">
    <w:name w:val="Hyperlink"/>
    <w:basedOn w:val="Standardnpsmoodstavce"/>
    <w:uiPriority w:val="99"/>
    <w:unhideWhenUsed/>
    <w:rsid w:val="003F028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F028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F02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6429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29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2990"/>
    <w:rPr>
      <w:rFonts w:ascii="Calibri" w:eastAsia="Calibri" w:hAnsi="Calibri" w:cs="Calibri"/>
      <w:kern w:val="0"/>
      <w:sz w:val="20"/>
      <w:szCs w:val="20"/>
      <w:lang w:eastAsia="cs-CZ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429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42990"/>
    <w:rPr>
      <w:rFonts w:ascii="Calibri" w:eastAsia="Calibri" w:hAnsi="Calibri" w:cs="Calibri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C13A1A"/>
    <w:pPr>
      <w:spacing w:after="0" w:line="240" w:lineRule="auto"/>
    </w:pPr>
    <w:rPr>
      <w:rFonts w:ascii="Calibri" w:eastAsia="Calibri" w:hAnsi="Calibri" w:cs="Calibri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6724D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4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iskorova@realiagroup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aclav.junek@crestcom.cz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9" ma:contentTypeDescription="Create a new document." ma:contentTypeScope="" ma:versionID="19cdcaf9bdfac273c990d8a82cc8004e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1d96e917a2e39012cb18927507d304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752EE4-7FB5-4A85-8DD8-5829447532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CB698-DFC7-451C-90EC-46F1BEDE063F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3.xml><?xml version="1.0" encoding="utf-8"?>
<ds:datastoreItem xmlns:ds="http://schemas.openxmlformats.org/officeDocument/2006/customXml" ds:itemID="{666F8E05-54C7-471D-9D1F-38D07FAAE0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F80703-F725-4BB0-ABB9-DD0182A97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Piskorová</dc:creator>
  <cp:keywords/>
  <dc:description/>
  <cp:lastModifiedBy>Václav Junek</cp:lastModifiedBy>
  <cp:revision>2</cp:revision>
  <cp:lastPrinted>2023-09-13T14:06:00Z</cp:lastPrinted>
  <dcterms:created xsi:type="dcterms:W3CDTF">2025-05-16T08:55:00Z</dcterms:created>
  <dcterms:modified xsi:type="dcterms:W3CDTF">2025-05-16T08:55:00Z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